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трудоустройства выпускников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11(12)-х классов общеобразовательных организаций Ростовской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 получивших аттестат о среднем общем образовании в 2023 году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(далее - ГИА)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Ростовской области в 2023 году проведен мониторинг трудоустройства выпускников 11(12)-х классов, допущенных к ГИА, но не получивших аттестат о среднем общем образовании.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Ростовской области к ГИА были допущены </w:t>
      </w:r>
      <w:r>
        <w:rPr>
          <w:rFonts w:ascii="Times New Roman" w:hAnsi="Times New Roman" w:cs="Times New Roman"/>
          <w:sz w:val="28"/>
          <w:szCs w:val="28"/>
        </w:rPr>
        <w:t xml:space="preserve">147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(2022 г. – 15223 чел.).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18-</w:t>
      </w:r>
      <w:r>
        <w:rPr>
          <w:rFonts w:ascii="Times New Roman" w:hAnsi="Times New Roman" w:cs="Times New Roman"/>
          <w:b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Ростовской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2023 года получили аттестат о среднем общем образовании</w:t>
      </w:r>
      <w:r>
        <w:rPr>
          <w:rStyle w:val="858"/>
          <w:rFonts w:ascii="Times New Roman" w:hAnsi="Times New Roman" w:cs="Times New Roman"/>
          <w:sz w:val="28"/>
          <w:szCs w:val="28"/>
        </w:rPr>
        <w:footnoteReference w:id="2"/>
      </w:r>
      <w:r>
        <w:rPr>
          <w:rStyle w:val="858"/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Style w:val="858"/>
          <w:rFonts w:ascii="Times New Roman" w:hAnsi="Times New Roman" w:cs="Times New Roman"/>
          <w:sz w:val="28"/>
          <w:szCs w:val="28"/>
          <w:vertAlign w:val="baseline"/>
        </w:rPr>
        <w:br/>
        <w:t xml:space="preserve">(</w:t>
      </w:r>
      <w:r>
        <w:rPr>
          <w:rStyle w:val="858"/>
          <w:rFonts w:ascii="Times New Roman" w:hAnsi="Times New Roman" w:cs="Times New Roman"/>
          <w:sz w:val="28"/>
          <w:szCs w:val="28"/>
          <w:vertAlign w:val="baseline"/>
        </w:rPr>
        <w:t xml:space="preserve">в 2022 г. – в 15 МО)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них э</w:t>
      </w:r>
      <w:r>
        <w:rPr>
          <w:rFonts w:ascii="Times New Roman" w:hAnsi="Times New Roman" w:cs="Times New Roman"/>
          <w:sz w:val="28"/>
          <w:szCs w:val="28"/>
        </w:rPr>
        <w:t xml:space="preserve">тот показатель стабилен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2021, 2022, 2023 гг.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Дубовск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Песчанокопск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ах,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2022, 2023 гг. – в </w:t>
      </w:r>
      <w:r>
        <w:rPr>
          <w:rFonts w:ascii="Times New Roman" w:hAnsi="Times New Roman" w:cs="Times New Roman"/>
          <w:sz w:val="28"/>
          <w:szCs w:val="28"/>
        </w:rPr>
        <w:t xml:space="preserve">Боковском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Верхнедонском</w:t>
      </w:r>
      <w:r>
        <w:rPr>
          <w:rFonts w:ascii="Times New Roman" w:hAnsi="Times New Roman" w:cs="Times New Roman"/>
          <w:sz w:val="28"/>
          <w:szCs w:val="28"/>
        </w:rPr>
        <w:t xml:space="preserve">, Морозовском, Орловском, Советском (с), </w:t>
      </w:r>
      <w:r>
        <w:rPr>
          <w:rFonts w:ascii="Times New Roman" w:hAnsi="Times New Roman" w:cs="Times New Roman"/>
          <w:sz w:val="28"/>
          <w:szCs w:val="28"/>
        </w:rPr>
        <w:t xml:space="preserve">Тацинском,  Шолоховском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районах, г. Донецке.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37</w:t>
      </w:r>
      <w:r>
        <w:rPr>
          <w:rFonts w:ascii="Times New Roman" w:hAnsi="Times New Roman" w:cs="Times New Roman"/>
          <w:b/>
          <w:sz w:val="28"/>
          <w:szCs w:val="28"/>
        </w:rPr>
        <w:t xml:space="preserve">-м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11(12)-х классов, допущенны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порядке, но не прошедши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ГИА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году, не получили аттестат о сре</w:t>
      </w:r>
      <w:r>
        <w:rPr>
          <w:rFonts w:ascii="Times New Roman" w:hAnsi="Times New Roman" w:cs="Times New Roman"/>
          <w:sz w:val="28"/>
          <w:szCs w:val="28"/>
        </w:rPr>
        <w:t xml:space="preserve">днем общем образовании (2022 г.</w:t>
      </w:r>
      <w:r>
        <w:rPr>
          <w:rFonts w:ascii="Times New Roman" w:hAnsi="Times New Roman" w:cs="Times New Roman"/>
          <w:sz w:val="28"/>
          <w:szCs w:val="28"/>
        </w:rPr>
        <w:t xml:space="preserve"> - 156 выпускников).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выражении наибольшее число выпускников 11(12)-х классов, которые не получили аттестат о среднем общем образовании,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Ростове-на-Дону – </w:t>
      </w: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текущег</w:t>
      </w:r>
      <w:r>
        <w:rPr>
          <w:rFonts w:ascii="Times New Roman" w:hAnsi="Times New Roman" w:cs="Times New Roman"/>
          <w:sz w:val="28"/>
          <w:szCs w:val="28"/>
        </w:rPr>
        <w:t xml:space="preserve">о года в муниципалитете (в 2022 г.</w:t>
      </w:r>
      <w:r>
        <w:rPr>
          <w:rFonts w:ascii="Times New Roman" w:hAnsi="Times New Roman" w:cs="Times New Roman"/>
          <w:sz w:val="28"/>
          <w:szCs w:val="28"/>
        </w:rPr>
        <w:t xml:space="preserve"> – 0,44%)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Наибольшая доля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допущенных к ГИА и не получивших аттестат о среднем общем образовании, отм</w:t>
      </w:r>
      <w:r>
        <w:rPr>
          <w:rFonts w:ascii="Times New Roman" w:hAnsi="Times New Roman" w:cs="Times New Roman"/>
          <w:sz w:val="28"/>
          <w:szCs w:val="28"/>
        </w:rPr>
        <w:t xml:space="preserve">ечается в таких муниципалитетах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Кашарский</w:t>
      </w:r>
      <w:r>
        <w:rPr>
          <w:rFonts w:ascii="Times New Roman" w:hAnsi="Times New Roman" w:cs="Times New Roman"/>
          <w:sz w:val="28"/>
          <w:szCs w:val="28"/>
        </w:rPr>
        <w:t xml:space="preserve"> район – 7,69% (2022 г. – 1,62%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Каменский район – 7,58%% (2022 г. – 10,37%),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Заветинский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6,98% (2022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3,33%)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(таблица 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метить, что в Каменском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получивших аттестат,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– выпускники МБОУ вечерняя (сменная) 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прошлым 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выпускников, не получивших аттестат, уменьшилась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Значительное сокращение доли выпускников, не получивших аттестат,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сравнении с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наблюдается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Родионово-Несветайском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Кагальницком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(на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Зверево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трицательная динамика (ухудшение более, чем на 3%) отмечена в таких муниципалитетах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Заветин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Кашарский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Зимовниковском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Матвеево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-Курганском, Сальском районах,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Новочеркасск, г. Таганрог, г. Шахты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стабильно отрицательная динамика (увеличение доли выпускников, не получивших аттестат)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Сравнительный анализ количества/% выпускников 11 (12) -х классов образовательных организаций, не получивших аттестат о среднем общем образовании, в динамике за два года</w:t>
      </w:r>
      <w:r/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592"/>
        <w:gridCol w:w="1460"/>
        <w:gridCol w:w="1751"/>
        <w:gridCol w:w="1460"/>
        <w:gridCol w:w="1751"/>
        <w:gridCol w:w="1167"/>
      </w:tblGrid>
      <w:tr>
        <w:trPr>
          <w:trHeight w:val="40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3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 Ростовской области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Динамика, %</w:t>
            </w:r>
            <w:r/>
          </w:p>
        </w:tc>
      </w:tr>
      <w:tr>
        <w:trPr>
          <w:trHeight w:val="196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выпускников текущего года, допущенных к ГИА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кол-во/% выпускников текущего года, допущенных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к ГИА и не получивших аттестат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 среднем общем образовании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выпускников текущего года, допущенных к ГИА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кол-во/% выпускников текущего года, допущенных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к ГИА и не получивших аттестат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 среднем общем образовании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233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3/1,29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227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/0,88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-0,41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Аксайский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387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414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/0,97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+0,45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121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4/3,31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/1,81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-1,50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Белокалитвинский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2/0,71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/0,36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-0.35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Боковский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Верхнедонской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2/2,25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/1,15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-1,1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Волгодонской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/1,43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+1,43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Дубовский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37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Егорлыкский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120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3/2,5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/2,34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-0,16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Заветинский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2/3,23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/6,98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3,75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176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1/0,57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/1,01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+0,44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Зимовниковский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1,18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/1,30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+0,12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Кагальницкий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4/4,44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-4,44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135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14/10,37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/7,58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-2,79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Кашарский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1/1,72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/7,69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+5,97</w:t>
            </w:r>
            <w:r/>
          </w:p>
        </w:tc>
      </w:tr>
      <w:tr>
        <w:trPr>
          <w:trHeight w:val="296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1/1,19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/1,27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-0,08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Красносулинский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221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4/1,81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222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/0,45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-1,36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1/1,64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1/2,13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+0,49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shd w:val="clear" w:color="auto" w:fill="ffff00"/>
                <w:lang w:eastAsia="ru-RU"/>
              </w:rPr>
              <w:t xml:space="preserve">Мартыновский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shd w:val="clear" w:color="auto" w:fill="ffff0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127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2/1,57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/1,06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-0,51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Матвеево-Курганский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145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5/3,45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/4,26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+0,81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241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1,24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185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-1,24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Милютинский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1/2,94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+2,94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154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135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Мясниковский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179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1/0,56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2,30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+1,74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Неклиновский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391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5/1,28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326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/3,99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+2,71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Обливский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48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1/2,08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-2,08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(с)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168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/2,38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+2,38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151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105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Песчанокопский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81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291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Пролетарский (с)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109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3/2,75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/1,19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-1,56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Ремонтненский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2/3,17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-3,17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Родионово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Несветайский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4/5,63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-5,63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313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2/0,64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333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/1,08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+0,44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167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1/0,60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/0,75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+0,15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Советский (с)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13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1/1,02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/2,22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+1,2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82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1/1,33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-1,33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3/3,33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/1,06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-2,27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Цимлянский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4/4,04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-2,04</w:t>
            </w:r>
            <w:r/>
          </w:p>
        </w:tc>
      </w:tr>
      <w:tr>
        <w:trPr>
          <w:trHeight w:val="363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Чертковский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112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1/0,89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/2,70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+1,81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91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Азов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349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10/2,87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370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/1,35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-1,52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400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/0,51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389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/2,31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+1,8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477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468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/0,43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+0,43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179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/1,72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+1,72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140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147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3/3,95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-3,95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333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2/0,60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-0,60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751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2/0,27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717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/1,12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+0,85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213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5/2,35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/0,43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-2,01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4741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21/0,44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4634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/0,69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+0,25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1299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6/0,46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1162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/1,20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+0,74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737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14/1,90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707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/1,98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+0,08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156/1,02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/1,16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184785</wp:posOffset>
                </wp:positionV>
                <wp:extent cx="571500" cy="266700"/>
                <wp:effectExtent l="0" t="0" r="19050" b="1905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0560;o:allowoverlap:true;o:allowincell:true;mso-position-horizontal-relative:text;margin-left:-29.5pt;mso-position-horizontal:absolute;mso-position-vertical-relative:text;margin-top:14.5pt;mso-position-vertical:absolute;width:45.0pt;height:21.0pt;mso-wrap-distance-left:9.0pt;mso-wrap-distance-top:0.0pt;mso-wrap-distance-right:9.0pt;mso-wrap-distance-bottom:0.0pt;visibility:visible;" fillcolor="#92D050" strokecolor="#F79646" strokeweight="2.00pt">
                <v:stroke dashstyle="solid"/>
              </v:shape>
            </w:pict>
          </mc:Fallback>
        </mc:AlternateConten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гг. нет выпускников, не получивших аттестат;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247650</wp:posOffset>
                </wp:positionV>
                <wp:extent cx="571500" cy="26670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8992;o:allowoverlap:true;o:allowincell:true;mso-position-horizontal-relative:text;margin-left:-29.5pt;mso-position-horizontal:absolute;mso-position-vertical-relative:text;margin-top:19.5pt;mso-position-vertical:absolute;width:45.0pt;height:21.0pt;mso-wrap-distance-left:9.0pt;mso-wrap-distance-top:0.0pt;mso-wrap-distance-right:9.0pt;mso-wrap-distance-bottom:0.0pt;visibility:visible;" fillcolor="#FFFF00" strokecolor="#F79646" strokeweight="2.00pt">
                <v:stroke dashstyle="solid"/>
              </v:shape>
            </w:pict>
          </mc:Fallback>
        </mc:AlternateContent>
      </w:r>
      <w:r/>
    </w:p>
    <w:p>
      <w:pPr>
        <w:ind w:left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сокращение доли не по</w:t>
      </w:r>
      <w:r>
        <w:rPr>
          <w:rFonts w:ascii="Times New Roman" w:hAnsi="Times New Roman" w:cs="Times New Roman"/>
          <w:sz w:val="28"/>
          <w:szCs w:val="28"/>
        </w:rPr>
        <w:t xml:space="preserve">лучивших аттестат по сравнению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годом;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209550</wp:posOffset>
                </wp:positionV>
                <wp:extent cx="571500" cy="266700"/>
                <wp:effectExtent l="0" t="0" r="19050" b="1905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0800;o:allowoverlap:true;o:allowincell:true;mso-position-horizontal-relative:text;margin-left:-29.3pt;mso-position-horizontal:absolute;mso-position-vertical-relative:text;margin-top:16.5pt;mso-position-vertical:absolute;width:45.0pt;height:21.0pt;mso-wrap-distance-left:9.0pt;mso-wrap-distance-top:0.0pt;mso-wrap-distance-right:9.0pt;mso-wrap-distance-bottom:0.0pt;visibility:visible;" fillcolor="#FF0000" strokecolor="#F79646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доли не получивших аттестат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годом.</w:t>
      </w:r>
      <w:r/>
    </w:p>
    <w:p>
      <w:pPr>
        <w:ind w:left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мониторинга из числа выпускников текущего года,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получивших аттестат о среднем общем образовании: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(68%)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продолжают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организациях; на краткосрочных специальных 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(2022 г. - 64,1%)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(14%)</w:t>
      </w:r>
      <w:r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 xml:space="preserve"> (2022 г.  - 23,1%)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(1,7%)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проходят службу</w:t>
      </w:r>
      <w:r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(2022 г.  - 1,9%)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(16,3%)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трудоустроены</w:t>
      </w:r>
      <w:r>
        <w:rPr>
          <w:rFonts w:ascii="Times New Roman" w:hAnsi="Times New Roman" w:cs="Times New Roman"/>
          <w:sz w:val="28"/>
          <w:szCs w:val="28"/>
        </w:rPr>
        <w:t xml:space="preserve"> (отпуск по уходу </w:t>
      </w:r>
      <w:r>
        <w:rPr>
          <w:rFonts w:ascii="Times New Roman" w:hAnsi="Times New Roman" w:cs="Times New Roman"/>
          <w:sz w:val="28"/>
          <w:szCs w:val="28"/>
        </w:rPr>
        <w:t xml:space="preserve">за ребенком, лечение, занятость в личном подсобном хозяйстве, смена ПМЖ, другие причины)</w:t>
      </w:r>
      <w:r>
        <w:rPr>
          <w:rFonts w:ascii="Times New Roman" w:hAnsi="Times New Roman" w:cs="Times New Roman"/>
          <w:sz w:val="28"/>
          <w:szCs w:val="28"/>
        </w:rPr>
        <w:t xml:space="preserve"> (2022 г.  - 10,9%)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унок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Рис</w:t>
      </w:r>
      <w:r>
        <w:rPr>
          <w:rFonts w:ascii="Times New Roman" w:hAnsi="Times New Roman" w:cs="Times New Roman"/>
          <w:b/>
          <w:sz w:val="24"/>
          <w:szCs w:val="24"/>
        </w:rPr>
        <w:t xml:space="preserve">унок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6052820" cy="2767476"/>
            <wp:effectExtent l="0" t="0" r="508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Сведения о трудоустройстве выпускников 11 (12) -х классов образовательных организаций, не получивших аттестат о среднем общем образовании в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78"/>
        <w:gridCol w:w="1458"/>
        <w:gridCol w:w="1606"/>
        <w:gridCol w:w="1222"/>
        <w:gridCol w:w="1405"/>
        <w:gridCol w:w="985"/>
      </w:tblGrid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12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Ростовской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не получивших аттестат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них:</w:t>
            </w:r>
            <w:r/>
          </w:p>
        </w:tc>
      </w:tr>
      <w:tr>
        <w:trPr>
          <w:trHeight w:val="52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обучающихся в ПОО,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курсах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трудоустроенных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проходящих службу в ВС РФ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трудоустроены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Аксайский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Белокалитвинский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Боковский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Верхнедонской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Волгодонской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Дубовский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Егорлыкский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Заветинский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Зимовниковский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Кагальницкий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Кашарский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Красносулинский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Мартыновский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Матвеево-Курганский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Милютинский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Мясниковский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Неклиновский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Обливский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(с)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Песчанокопский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Пролетарский (с)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Ремонтненский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Родионово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Несветайский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Советский (с)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Цимлянский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Чертковский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Азов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dbdb" w:themeFill="accent2" w:themeFillTint="3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dbdb" w:themeFill="accent2" w:themeFillTint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</w:t>
      </w:r>
      <w:r/>
    </w:p>
    <w:p>
      <w:pPr>
        <w:pStyle w:val="855"/>
        <w:numPr>
          <w:ilvl w:val="0"/>
          <w:numId w:val="4"/>
        </w:numPr>
        <w:ind w:left="-284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2023 году доля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11(12) -х классов, не получивших аттестат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среднем общем образовании,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увеличилась в сравнении с 2022 годом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5"/>
        <w:numPr>
          <w:ilvl w:val="0"/>
          <w:numId w:val="4"/>
        </w:numPr>
        <w:ind w:left="-284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увеличение доли выпускников, продолживших обучение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а также не трудоустроенных выпускников в сравнении с прошлым годом.</w:t>
      </w:r>
      <w:r/>
    </w:p>
    <w:p>
      <w:pPr>
        <w:pStyle w:val="855"/>
        <w:numPr>
          <w:ilvl w:val="0"/>
          <w:numId w:val="4"/>
        </w:numPr>
        <w:ind w:left="-284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выпускников 11(12)</w:t>
      </w:r>
      <w:r>
        <w:rPr>
          <w:rFonts w:ascii="Times New Roman" w:hAnsi="Times New Roman" w:cs="Times New Roman"/>
          <w:sz w:val="28"/>
          <w:szCs w:val="28"/>
        </w:rPr>
        <w:t xml:space="preserve">-х классов, не получивших аттестат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среднем общем об</w:t>
      </w:r>
      <w:r>
        <w:rPr>
          <w:rFonts w:ascii="Times New Roman" w:hAnsi="Times New Roman" w:cs="Times New Roman"/>
          <w:sz w:val="28"/>
          <w:szCs w:val="28"/>
        </w:rPr>
        <w:t xml:space="preserve">разовании, продолжают обучение в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аттестата об основном общем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образовании.</w:t>
      </w:r>
      <w:r/>
    </w:p>
    <w:p>
      <w:pPr>
        <w:pStyle w:val="855"/>
        <w:numPr>
          <w:ilvl w:val="0"/>
          <w:numId w:val="4"/>
        </w:numPr>
        <w:ind w:left="-284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муниципалитетах, стабильно имеющих значительную долю выпускников 11(12)-х классов, не получивших аттестаты о среднем общем образовании:</w:t>
      </w:r>
      <w:r/>
    </w:p>
    <w:p>
      <w:pPr>
        <w:pStyle w:val="855"/>
        <w:numPr>
          <w:ilvl w:val="1"/>
          <w:numId w:val="4"/>
        </w:numPr>
        <w:ind w:left="-284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повышению качества образования, а также объективности оценивания, в том числе по обязательным учебным предметам (русский язык и математика), в 10-11(12)-х классах.</w:t>
      </w:r>
      <w:r/>
    </w:p>
    <w:p>
      <w:pPr>
        <w:pStyle w:val="855"/>
        <w:numPr>
          <w:ilvl w:val="1"/>
          <w:numId w:val="4"/>
        </w:numPr>
        <w:ind w:left="-284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профориентационную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информационно-разъяснительную работу с обучающимися с целью более осознанного выбора выпускниками 9-х классов дальнейшего пути обучения.  </w:t>
      </w:r>
      <w:r/>
    </w:p>
    <w:p>
      <w:pPr>
        <w:pStyle w:val="855"/>
        <w:numPr>
          <w:ilvl w:val="0"/>
          <w:numId w:val="4"/>
        </w:numPr>
        <w:ind w:left="-284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Егорлыкском</w:t>
      </w:r>
      <w:r>
        <w:rPr>
          <w:rFonts w:ascii="Times New Roman" w:hAnsi="Times New Roman" w:cs="Times New Roman"/>
          <w:sz w:val="28"/>
          <w:szCs w:val="28"/>
        </w:rPr>
        <w:t xml:space="preserve">, Каменском,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ясниковском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районах, г. Азове, </w:t>
      </w:r>
      <w:r>
        <w:rPr>
          <w:rFonts w:ascii="Times New Roman" w:hAnsi="Times New Roman" w:cs="Times New Roman"/>
          <w:sz w:val="28"/>
          <w:szCs w:val="28"/>
        </w:rPr>
        <w:t xml:space="preserve">г. Таганроге усилить информационно-разъяснительную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на базе основного общего образования и получения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образовательной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993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58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Верхнедонской</w:t>
      </w:r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r>
        <w:rPr>
          <w:rFonts w:ascii="Times New Roman" w:hAnsi="Times New Roman" w:cs="Times New Roman"/>
          <w:sz w:val="24"/>
          <w:szCs w:val="24"/>
        </w:rPr>
        <w:t xml:space="preserve">Дубовский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Кагальницкий</w:t>
      </w:r>
      <w:r>
        <w:rPr>
          <w:rFonts w:ascii="Times New Roman" w:hAnsi="Times New Roman" w:cs="Times New Roman"/>
          <w:sz w:val="24"/>
          <w:szCs w:val="24"/>
        </w:rPr>
        <w:t xml:space="preserve"> район, Миллеровский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Морозовский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Обливский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Орловский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Песчанокопский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Родионово-Несветайский</w:t>
      </w:r>
      <w:r>
        <w:rPr>
          <w:rFonts w:ascii="Times New Roman" w:hAnsi="Times New Roman" w:cs="Times New Roman"/>
          <w:sz w:val="24"/>
          <w:szCs w:val="24"/>
        </w:rPr>
        <w:t xml:space="preserve"> район, Советский (с) район, Тацинский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Усть-Донецкий район, </w:t>
      </w:r>
      <w:r>
        <w:rPr>
          <w:rFonts w:ascii="Times New Roman" w:hAnsi="Times New Roman" w:cs="Times New Roman"/>
          <w:sz w:val="24"/>
          <w:szCs w:val="24"/>
        </w:rPr>
        <w:t xml:space="preserve">Шолоховс</w:t>
      </w:r>
      <w:r>
        <w:rPr>
          <w:rFonts w:ascii="Times New Roman" w:hAnsi="Times New Roman" w:cs="Times New Roman"/>
          <w:sz w:val="24"/>
          <w:szCs w:val="24"/>
        </w:rPr>
        <w:t xml:space="preserve">кий район,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г.Донецк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г. Зверево, г. Каменск-Шахтинский.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8"/>
    <w:link w:val="68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8"/>
    <w:link w:val="701"/>
    <w:uiPriority w:val="10"/>
    <w:rPr>
      <w:sz w:val="48"/>
      <w:szCs w:val="48"/>
    </w:rPr>
  </w:style>
  <w:style w:type="character" w:styleId="36">
    <w:name w:val="Subtitle Char"/>
    <w:basedOn w:val="688"/>
    <w:link w:val="703"/>
    <w:uiPriority w:val="11"/>
    <w:rPr>
      <w:sz w:val="24"/>
      <w:szCs w:val="24"/>
    </w:rPr>
  </w:style>
  <w:style w:type="character" w:styleId="38">
    <w:name w:val="Quote Char"/>
    <w:link w:val="705"/>
    <w:uiPriority w:val="29"/>
    <w:rPr>
      <w:i/>
    </w:rPr>
  </w:style>
  <w:style w:type="character" w:styleId="40">
    <w:name w:val="Intense Quote Char"/>
    <w:link w:val="707"/>
    <w:uiPriority w:val="30"/>
    <w:rPr>
      <w:i/>
    </w:rPr>
  </w:style>
  <w:style w:type="character" w:styleId="178">
    <w:name w:val="Endnote Text Char"/>
    <w:link w:val="840"/>
    <w:uiPriority w:val="99"/>
    <w:rPr>
      <w:sz w:val="20"/>
    </w:rPr>
  </w:style>
  <w:style w:type="paragraph" w:styleId="678" w:default="1">
    <w:name w:val="Normal"/>
    <w:qFormat/>
  </w:style>
  <w:style w:type="paragraph" w:styleId="679">
    <w:name w:val="Heading 1"/>
    <w:basedOn w:val="678"/>
    <w:next w:val="678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8"/>
    <w:next w:val="678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basedOn w:val="688"/>
    <w:link w:val="701"/>
    <w:uiPriority w:val="10"/>
    <w:rPr>
      <w:sz w:val="48"/>
      <w:szCs w:val="48"/>
    </w:rPr>
  </w:style>
  <w:style w:type="paragraph" w:styleId="703">
    <w:name w:val="Subtitle"/>
    <w:basedOn w:val="678"/>
    <w:next w:val="678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8"/>
    <w:link w:val="703"/>
    <w:uiPriority w:val="11"/>
    <w:rPr>
      <w:sz w:val="24"/>
      <w:szCs w:val="24"/>
    </w:rPr>
  </w:style>
  <w:style w:type="paragraph" w:styleId="705">
    <w:name w:val="Quote"/>
    <w:basedOn w:val="678"/>
    <w:next w:val="678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8"/>
    <w:next w:val="678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8"/>
    <w:uiPriority w:val="99"/>
  </w:style>
  <w:style w:type="character" w:styleId="710" w:customStyle="1">
    <w:name w:val="Footer Char"/>
    <w:basedOn w:val="688"/>
    <w:uiPriority w:val="99"/>
  </w:style>
  <w:style w:type="paragraph" w:styleId="711">
    <w:name w:val="Caption"/>
    <w:basedOn w:val="678"/>
    <w:next w:val="67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 w:customStyle="1">
    <w:name w:val="Footnote Text Char"/>
    <w:uiPriority w:val="99"/>
    <w:rPr>
      <w:sz w:val="18"/>
    </w:rPr>
  </w:style>
  <w:style w:type="paragraph" w:styleId="840">
    <w:name w:val="endnote text"/>
    <w:basedOn w:val="678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8"/>
    <w:uiPriority w:val="99"/>
    <w:semiHidden/>
    <w:unhideWhenUsed/>
    <w:rPr>
      <w:vertAlign w:val="superscript"/>
    </w:rPr>
  </w:style>
  <w:style w:type="paragraph" w:styleId="843">
    <w:name w:val="toc 1"/>
    <w:basedOn w:val="678"/>
    <w:next w:val="678"/>
    <w:uiPriority w:val="39"/>
    <w:unhideWhenUsed/>
    <w:pPr>
      <w:spacing w:after="57"/>
    </w:pPr>
  </w:style>
  <w:style w:type="paragraph" w:styleId="844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45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46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47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48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49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50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51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8"/>
    <w:next w:val="678"/>
    <w:uiPriority w:val="99"/>
    <w:unhideWhenUsed/>
    <w:pPr>
      <w:spacing w:after="0"/>
    </w:pPr>
  </w:style>
  <w:style w:type="table" w:styleId="854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678"/>
    <w:uiPriority w:val="34"/>
    <w:qFormat/>
    <w:pPr>
      <w:contextualSpacing/>
      <w:ind w:left="720"/>
    </w:pPr>
  </w:style>
  <w:style w:type="paragraph" w:styleId="856">
    <w:name w:val="footnote text"/>
    <w:basedOn w:val="678"/>
    <w:link w:val="8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7" w:customStyle="1">
    <w:name w:val="Текст сноски Знак"/>
    <w:basedOn w:val="688"/>
    <w:link w:val="856"/>
    <w:uiPriority w:val="99"/>
    <w:semiHidden/>
    <w:rPr>
      <w:sz w:val="20"/>
      <w:szCs w:val="20"/>
    </w:rPr>
  </w:style>
  <w:style w:type="character" w:styleId="858">
    <w:name w:val="footnote reference"/>
    <w:basedOn w:val="688"/>
    <w:uiPriority w:val="99"/>
    <w:semiHidden/>
    <w:unhideWhenUsed/>
    <w:rPr>
      <w:vertAlign w:val="superscript"/>
    </w:rPr>
  </w:style>
  <w:style w:type="paragraph" w:styleId="859">
    <w:name w:val="Balloon Text"/>
    <w:basedOn w:val="678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88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>
    <w:name w:val="Header"/>
    <w:basedOn w:val="678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88"/>
    <w:link w:val="861"/>
    <w:uiPriority w:val="99"/>
  </w:style>
  <w:style w:type="paragraph" w:styleId="863">
    <w:name w:val="Footer"/>
    <w:basedOn w:val="678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88"/>
    <w:link w:val="86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b="1">
                <a:solidFill>
                  <a:schemeClr val="tx1"/>
                </a:solidFill>
                <a:latin typeface="Times New Roman"/>
                <a:cs typeface="Times New Roman"/>
              </a:rPr>
              <a:t>Трудоустройство выпускников 11 (12)-х классов,                 не получивших аттестат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900287799736322"/>
          <c:y val="0.20329833770778652"/>
          <c:w val="0.43221675415573052"/>
          <c:h val="0.740943007124109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Трудоустройство выпускников 11 (12)-х классов, не получивших аттестат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19335945889684562"/>
                  <c:y val="-0.54927946506686665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0.0095378682994042441"/>
                  <c:y val="-0.027089113860767403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64113917149361595"/>
                  <c:y val="0.00058773903262092234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16285797363873328"/>
                  <c:y val="0.011043619547556555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продолжают обучение в ОО СПО, на курсах</c:v>
                </c:pt>
                <c:pt idx="1">
                  <c:v>работают</c:v>
                </c:pt>
                <c:pt idx="2">
                  <c:v xml:space="preserve">служат в армии</c:v>
                </c:pt>
                <c:pt idx="3">
                  <c:v xml:space="preserve">не трудоустроены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0.68</c:v>
                </c:pt>
                <c:pt idx="1">
                  <c:v>0.14</c:v>
                </c:pt>
                <c:pt idx="2">
                  <c:v>0.017</c:v>
                </c:pt>
                <c:pt idx="3">
                  <c:v>0.163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1"/>
        </c:dLbls>
        <c:firstSliceAng val="0"/>
      </c:pie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031142508781032"/>
          <c:y val="0.30987907761529809"/>
          <c:w val="0.39759037936036423"/>
          <c:h val="0.67063867016622924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>
              <a:solidFill>
                <a:schemeClr val="tx1"/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9F7B-20D7-41A8-97D4-BDB67FC0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revision>116</cp:revision>
  <dcterms:created xsi:type="dcterms:W3CDTF">2017-11-01T11:45:00Z</dcterms:created>
  <dcterms:modified xsi:type="dcterms:W3CDTF">2023-10-24T08:36:35Z</dcterms:modified>
</cp:coreProperties>
</file>